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 UNIVERSITÁRIO INTERNACIONAL UNINTER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SUPERIOR DE BACHARELADO EM CIÊNCIA POLÍTICA</w:t>
      </w:r>
    </w:p>
    <w:p w:rsidR="00000000" w:rsidDel="00000000" w:rsidP="00000000" w:rsidRDefault="00000000" w:rsidRPr="00000000" w14:paraId="0000000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PROJETO INTERDISCIPLINAR I - ATIVIDADE PRÁTICA PRESENCIAL LOCORREGIONAL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DIEGO MAURICIO DA SILVA - RU: 5842236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PAP UBERLÂNDIA (LAPAD) - MG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APPL Economia e Política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UBERLÂNDIA - MG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JULHO DE 2026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1. Diagnóstico Econômico-Político (Passo 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município de Uberlândia, localizado estrategicamente no Triângulo Mineiro, figura como uma das principais potências econômicas do estado de Minas Gerais e do interior do Brasil. A vocação econômica local é historicamente caracterizada por uma matriz diversificada, fortemente alicerçada nos setores de serviços, agronegócio, logística e no segmento atacadista-distribuidor, abrigando sedes de grandes corporações nacionais e multinacionais. A formação dessa estrutura produtiva robusta reflete dinâmicas fundamentais da própria evolução da economia brasileira, especialmente o avanço da fronteira agrícola para o bioma Cerrado nas décadas de 1970 e 1980, e a consequente demanda por infraestrutura logística, inovação tecnológica e serviços especializados para escoamento da produção e abastecimento de grandes centros urbanos.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atual cenário macroeconômico de 2026, as variáveis nacionais exercem pressões diretas e, muitas vezes, contraditórias no município. A taxa de câmbio em patamares elevados tem favorecido a exportação de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commodities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 agropecuárias locais (como soja, milho e proteína animal), injetando liquidez no setor rural. No entanto, a política monetária, balizada por flutuações na taxa básica de juros (Selic) para controle da inflação, encarece as linhas de crédito. Este fenômeno afeta diretamente a capacidade de investimento e a manutenção de estoques do forte comércio varejista e atacadista de Uberlândia, que também sente os reflexos da retração do poder de compra das famílias de menor renda perante a inflação de alimentos e serviços básicos.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ótica da relação Estado-Mercado, Uberlândia demonstra uma atuação proativa do poder público local. A Prefeitura Municipal, em constante diálogo com entidades como a Associação Comercial e Industrial de Uberlândia (ACIUB) e o Governo Estadual, utiliza instrumentos de atração de investimentos, como a estruturação de distritos industriais, parques tecnológicos e programas de concessão de incentivos fiscais e desburocratização. Tais políticas públicas de fomento buscam consolidar a cidade não apenas como um polo logístico e agroindustrial, mas também como um centro de tecnologia e inovação, evidenciando uma intervenção regulatória focada no provimento de externalidades positivas para o crescimento econômico sustentado.</w:t>
      </w:r>
    </w:p>
    <w:p w:rsidR="00000000" w:rsidDel="00000000" w:rsidP="00000000" w:rsidRDefault="00000000" w:rsidRPr="00000000" w14:paraId="0000001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2. Matriz Visual de Cenários (Passo B)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análise de conjuntura exige planejamento prospectivo para lidar com as incertezas macroeconômicas. Abaixo, apresenta-se a matriz de cenários projetada para os próximos 2 anos, utilizando como métricas principais: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Volume de Vendas no Varejo/Atacado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Nível de Emprego Formal (CAGED)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Abertura de Novos CNPJs (Inovação e Serviços)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tbl>
      <w:tblPr>
        <w:tblStyle w:val="Table1"/>
        <w:tblW w:w="936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34495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Elementos Analíticos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34495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Cenário Tendencial (O Mais Provável)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34495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Cenário Otimista (O Desejado)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34495e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Cenário Pessimista (O Risco)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Descrição Geral do Contexto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Manutenção do quadro atual. Crescimento moderado apoiado no agronegócio e estabilidade relativa do setor logístico. Reformas nacionais caminham lentamente.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Queda sustentada na taxa Selic, atraindo capital. Aumento expressivo de investimentos em tecnologia agro (Agrotechs) e forte expansão do consumo interno devido à baixa inflação.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Alta da inflação global e juros elevados. Instabilidade climática reduzindo safras do Triângulo Mineiro. Retração do crédito sufoca o polo atacadista-distribuidor local.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Volume de Vendas (Atacado e Varejo)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Crescimento tímido (1% a 2% ao ano), mantendo apenas a reposição da inflação.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Expansão acima de 5% ao ano, alavancado pelo crédito barato e aumento da massa salarial local.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Queda nas vendas (-2% a -3%) provocada pela inflação corroendo o consumo e crédito restrito.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Geração de Empregos Formais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Estabilidade, com contratações sazonais nos picos do agronegócio e festas de fim de ano no comércio.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Alta geração de empregos, especialmente no setor de tecnologia da informação e serviços especializados de alto valor agregado.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36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Aumento do desemprego e ampliação da informalidade devido a fechamento de comércios e redução logística.</w:t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00" w:lineRule="auto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3. O Plano de Ação (Passo C)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Tendo como base o Cenário Otimista, o caminho estratégico para o desenvolvimento sustentável de Uberlândia deve focar na intersecção entre as suas duas maiores vocações: a tecnologia/serviços e o agronegócio. A proposta central é a implementação 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"Polo Integrado de Inovação Agrotech (PIIA)"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Articulação com ODS (Agenda 2030):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projeto alinha-se diretamente ao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ODS 8 (Trabalho Decente e Crescimento Econômico)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 gerar empregos de alta qualificação e fomento ao empreendedorismo tecnológico, e ao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ODS 9 (Indústria, Inovação e Infraestrutura)</w:t>
      </w:r>
      <w:r w:rsidDel="00000000" w:rsidR="00000000" w:rsidRPr="00000000">
        <w:rPr>
          <w:rFonts w:ascii="Arial" w:cs="Arial" w:eastAsia="Arial" w:hAnsi="Arial"/>
          <w:rtl w:val="0"/>
        </w:rPr>
        <w:t xml:space="preserve">, ao promover a modernização tecnológica da cadeia agroindustrial, garantindo maior produtividade com sustentabilidade e uso inteligente de dados.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Etapas e Metas:</w:t>
      </w:r>
      <w:r w:rsidDel="00000000" w:rsidR="00000000" w:rsidRPr="00000000">
        <w:rPr>
          <w:rFonts w:ascii="Arial" w:cs="Arial" w:eastAsia="Arial" w:hAnsi="Arial"/>
          <w:rtl w:val="0"/>
        </w:rPr>
        <w:t xml:space="preserve"> A Fase 1 contemplará, em 12 meses, a captação de 50 startups no segmento agro/logístico; a Fase 2 envolverá programas de incubação acelerada integrando-as a 20 grandes corporações distribuidoras de Uberlândia; a meta final é atingir um incremento de 10% nos CNPJs do setor tecnológico municipal em dois anos.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Parcerias Envolvidas (Governança Hélice Quádrupla):</w:t>
      </w:r>
      <w:r w:rsidDel="00000000" w:rsidR="00000000" w:rsidRPr="00000000">
        <w:rPr>
          <w:rFonts w:ascii="Arial" w:cs="Arial" w:eastAsia="Arial" w:hAnsi="Arial"/>
          <w:rtl w:val="0"/>
        </w:rPr>
        <w:t xml:space="preserve"> A execução exige sinergia entre a Universidade Federal de Uberlândia (UFU) para P&amp;D, a Prefeitura de Uberlândia (para incentivos de ISS e cedência de espaço no Parque Tecnológico), o SEBRAE-MG (mentoria) e a iniciativa privada, liderada pela Associação Comercial e Industrial de Uberlândia (ACIUB) e sindicatos rurais.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beforeAutospacing="0" w:line="360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Referência de Sucesso: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projeto inspira-se no modelo de sucesso 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Porto Digital (Recife/PE)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transformou uma área subutilizada em um dos maiores ecossistemas de tecnologia do país, integrando poder público, academia (UFPE) e empresas âncoras para reter talentos e gerar alto valor econômico, adaptando, contudo, esse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framework</w:t>
      </w:r>
      <w:r w:rsidDel="00000000" w:rsidR="00000000" w:rsidRPr="00000000">
        <w:rPr>
          <w:rFonts w:ascii="Arial" w:cs="Arial" w:eastAsia="Arial" w:hAnsi="Arial"/>
          <w:rtl w:val="0"/>
        </w:rPr>
        <w:t xml:space="preserve"> à vocação logística e rural do Triângulo Mineiro.</w:t>
      </w:r>
    </w:p>
    <w:p w:rsidR="00000000" w:rsidDel="00000000" w:rsidP="00000000" w:rsidRDefault="00000000" w:rsidRPr="00000000" w14:paraId="0000003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4. Reflexão Crítica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Atuar como formulador de políticas de desenvolvimento em um nível subnacional (territorial) expõe as complexas limitações e riscos gerados pelo ambiente econômico nacional. O exercício da tomada de decisão em contextos de incerteza demonstra que o desenvolvimento de Uberlândia, por mais pujante que seja, não está blindado contra flutuações e intempéries da Economia Política global e brasileira. Um governo municipal, por exemplo, não controla a política cambial ou as metas da taxa Selic estabelecidas pelo Banco Central, variáveis estas que ditam o ritmo de endividamento dos atacadistas locais e os lucros da exportação de grãos.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grande desafio reside em criar "amortecedores institucionais" e competitividade sistêmica em nível local. Ao depender fortemente do ciclo das commodities e da matriz de transporte rodoviário, Uberlândia enfrenta riscos sistêmicos ambientais e macroeconômicos seculares. A decisão política correta neste cenário — mesmo sob a restrição fiscal do ente municipal — é justamente investir maciçamente no capital humano, na diversificação tecnológica e em arranjos institucionais público-privados fortes. Tais condicionantes indicam que, apesar dos limites de atuação impostos pela federação e pelas leis de mercado, a liderança política e a coesão social em torno de projetos como a Agenda 2030 (ODS) são cruciais para quebrar o determinismo econômico e planejar um futuro de menor desigualdade e maior resiliência no território.</w:t>
      </w:r>
    </w:p>
    <w:p w:rsidR="00000000" w:rsidDel="00000000" w:rsidP="00000000" w:rsidRDefault="00000000" w:rsidRPr="00000000" w14:paraId="0000003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5. Referências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CALABREZ, F. (2020) Introdução à economia política. Curitiba: Intersaberes.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IBGE - INSTITUTO BRASILEIRO DE GEOGRAFIA E ESTATÍSTICA. (2025). Sistema IBGE de Recuperação Automática (SIDRA) - Banco de Dados Macro da Economia de Uberlândia. [online] Rio de Janeiro: IBGE. Disponível em: &lt;https://sidra.ibge.gov.br&gt;. Acesso em: 06 de jul. 2026.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IPEA. (2026). Ipeadata - Base de Dados Macroeconômicos e Regionais. [online] Brasília: IPEA. Disponível em: &lt;http://www.ipeadata.gov.br&gt;. Acesso em: 06 de jul. 2026.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ODS BRASIL. (2026). Objetivos de Desenvolvimento Sustentável - Plataforma de Acompanhamento. [online] Brasília. Disponível em: &lt;http://www.odsbrasil.gov.br&gt;. Acesso em: 06 de jul. 2026.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PEREIRA, J. I. R. (2020) Análise de conjuntura econômica. Curitiba: Intersaberes.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BRAGA, B. P. M.; SILVA, E. J. (2016) Uma reflexão introdutória sobre o Brasil e sua formação econômica. Curitiba: Intersaberes.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--- inserir abaixo a ficha de presença assinada ---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--- inserir acima a ficha de presença assinada ---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